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3D1" w:rsidRPr="00E2283C" w:rsidRDefault="00E2283C">
      <w:pPr>
        <w:pStyle w:val="1"/>
        <w:rPr>
          <w:lang w:val="ru-RU"/>
        </w:rPr>
      </w:pPr>
      <w:bookmarkStart w:id="0" w:name="_GoBack"/>
      <w:bookmarkEnd w:id="0"/>
      <w:r w:rsidRPr="00E2283C">
        <w:rPr>
          <w:lang w:val="ru-RU"/>
        </w:rPr>
        <w:t>Письмо Минтруда России № 18-2/10/В-2575 от 11 апреля 2018 г.</w:t>
      </w:r>
    </w:p>
    <w:p w:rsidR="00DB33D1" w:rsidRPr="00E2283C" w:rsidRDefault="00E2283C">
      <w:pPr>
        <w:pStyle w:val="2"/>
        <w:rPr>
          <w:lang w:val="ru-RU"/>
        </w:rPr>
      </w:pPr>
      <w:r w:rsidRPr="00E2283C">
        <w:rPr>
          <w:lang w:val="ru-RU"/>
        </w:rPr>
        <w:t>Федеральные государственные органы</w:t>
      </w:r>
      <w:r w:rsidRPr="00E2283C">
        <w:rPr>
          <w:lang w:val="ru-RU"/>
        </w:rPr>
        <w:br/>
        <w:t>Высшие органы исполнительной власти субъектов Российской Федерации</w:t>
      </w:r>
      <w:r w:rsidRPr="00E2283C">
        <w:rPr>
          <w:lang w:val="ru-RU"/>
        </w:rPr>
        <w:br/>
        <w:t>Организации</w:t>
      </w:r>
      <w:r w:rsidRPr="00E2283C">
        <w:rPr>
          <w:lang w:val="ru-RU"/>
        </w:rPr>
        <w:br/>
        <w:t>Центральный банк Российской Федерации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Министерство труда и социальной защиты Российской Федерации в рамках оказания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</w:t>
      </w:r>
      <w:r w:rsidRPr="00E2283C">
        <w:rPr>
          <w:lang w:val="ru-RU"/>
        </w:rPr>
        <w:t xml:space="preserve"> о противодействии коррупции сообщает следующее.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 xml:space="preserve">Антикоррупционным законодательством Российской Федерации для отдельных категорий лиц установлены запреты: </w:t>
      </w:r>
    </w:p>
    <w:p w:rsidR="00DB33D1" w:rsidRPr="00E2283C" w:rsidRDefault="00E2283C">
      <w:pPr>
        <w:pStyle w:val="a0"/>
        <w:numPr>
          <w:ilvl w:val="0"/>
          <w:numId w:val="1"/>
        </w:numPr>
        <w:tabs>
          <w:tab w:val="left" w:pos="0"/>
        </w:tabs>
        <w:spacing w:after="0"/>
        <w:rPr>
          <w:lang w:val="ru-RU"/>
        </w:rPr>
      </w:pPr>
      <w:r w:rsidRPr="00E2283C">
        <w:rPr>
          <w:lang w:val="ru-RU"/>
        </w:rPr>
        <w:t>приобретать ценные бумаги в случае, если владение такими ценными бумагами приводит или может привес</w:t>
      </w:r>
      <w:r w:rsidRPr="00E2283C">
        <w:rPr>
          <w:lang w:val="ru-RU"/>
        </w:rPr>
        <w:t>ти к конфликту интересов;</w:t>
      </w:r>
    </w:p>
    <w:p w:rsidR="00DB33D1" w:rsidRPr="00E2283C" w:rsidRDefault="00E2283C">
      <w:pPr>
        <w:pStyle w:val="a0"/>
        <w:numPr>
          <w:ilvl w:val="0"/>
          <w:numId w:val="1"/>
        </w:numPr>
        <w:tabs>
          <w:tab w:val="left" w:pos="0"/>
        </w:tabs>
        <w:rPr>
          <w:lang w:val="ru-RU"/>
        </w:rPr>
      </w:pPr>
      <w:r w:rsidRPr="00E2283C">
        <w:rPr>
          <w:lang w:val="ru-RU"/>
        </w:rPr>
        <w:t xml:space="preserve">прямо и косвенно владеть и (или) пользоваться иностранными финансовыми инструментами.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 xml:space="preserve">В целях исключения нарушения указанных запретов при открытии таким лицам индивидуального инвестиционного счета необходимо учитывать следующее.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В соответствии с абзацем первым пункта 1 статьи 10.2-1 Федерального закона от 22</w:t>
      </w:r>
      <w:r>
        <w:t> </w:t>
      </w:r>
      <w:r w:rsidRPr="00E2283C">
        <w:rPr>
          <w:lang w:val="ru-RU"/>
        </w:rPr>
        <w:t>апреля 1996 г. № 39-ФЗ «О рынке ценных бумаг» (далее – Федеральный закон № 39-ФЗ) индивидуальный инвестиционный счет – счет внутреннего учета, который предназначен для обособ</w:t>
      </w:r>
      <w:r w:rsidRPr="00E2283C">
        <w:rPr>
          <w:lang w:val="ru-RU"/>
        </w:rPr>
        <w:t xml:space="preserve">ленного учета денежных средств, ценных бумаг клиента – физического лица, обязательств по договорам, заключенным за счет указанного клиента, и который открывается и ведется в соответствии со статьей 10.2-1 Федерального закона № 39-ФЗ.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Согласно абзацу второ</w:t>
      </w:r>
      <w:r w:rsidRPr="00E2283C">
        <w:rPr>
          <w:lang w:val="ru-RU"/>
        </w:rPr>
        <w:t>му пункта 1 статьи 10.2-1 Федерального закона №</w:t>
      </w:r>
      <w:r>
        <w:t> </w:t>
      </w:r>
      <w:r w:rsidRPr="00E2283C">
        <w:rPr>
          <w:lang w:val="ru-RU"/>
        </w:rPr>
        <w:t>39-ФЗ индивидуальный инвестиционный счет открывается и ведется брокером или управляющим на основании отдельного договора на брокерское обслуживание или договора доверительного управления ценными бумагами, кот</w:t>
      </w:r>
      <w:r w:rsidRPr="00E2283C">
        <w:rPr>
          <w:lang w:val="ru-RU"/>
        </w:rPr>
        <w:t xml:space="preserve">орые предусматривают открытие и ведение индивидуального инвестиционного счета (далее также – договор на ведение индивидуального инвестиционного счета).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Пунктом 8 статьи 10.2-1 Федерального закона № 39-ФЗ предусмотрено, что по договору на ведение индивидуа</w:t>
      </w:r>
      <w:r w:rsidRPr="00E2283C">
        <w:rPr>
          <w:lang w:val="ru-RU"/>
        </w:rPr>
        <w:t>льного инвестиционного счета допускается передача клиентом профессиональному участнику рынка ценных бумаг только денежных средств, за исключением случая прекращения одного договора на ведение индивидуального инвестиционного</w:t>
      </w:r>
      <w:r>
        <w:t> </w:t>
      </w:r>
      <w:r w:rsidRPr="00E2283C">
        <w:rPr>
          <w:lang w:val="ru-RU"/>
        </w:rPr>
        <w:t xml:space="preserve"> и заключения нового договора (п</w:t>
      </w:r>
      <w:r w:rsidRPr="00E2283C">
        <w:rPr>
          <w:lang w:val="ru-RU"/>
        </w:rPr>
        <w:t>ункт 4 статьи 10.2-1 Федерального закона №</w:t>
      </w:r>
      <w:r>
        <w:t> </w:t>
      </w:r>
      <w:r w:rsidRPr="00E2283C">
        <w:rPr>
          <w:lang w:val="ru-RU"/>
        </w:rPr>
        <w:t xml:space="preserve">39-ФЗ).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 xml:space="preserve">Договор на ведение индивидуального инвестиционного счета предусматривает, что приобретаемые ценные бумаги становятся собственностью клиента.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Одновременно стоит учитывать, что абзац второй пункта</w:t>
      </w:r>
      <w:r>
        <w:t> </w:t>
      </w:r>
      <w:r w:rsidRPr="00E2283C">
        <w:rPr>
          <w:lang w:val="ru-RU"/>
        </w:rPr>
        <w:t>9 статьи</w:t>
      </w:r>
      <w:r>
        <w:t> </w:t>
      </w:r>
      <w:r w:rsidRPr="00E2283C">
        <w:rPr>
          <w:lang w:val="ru-RU"/>
        </w:rPr>
        <w:t>10.2-1 Федерального закона №</w:t>
      </w:r>
      <w:r>
        <w:t> </w:t>
      </w:r>
      <w:r w:rsidRPr="00E2283C">
        <w:rPr>
          <w:lang w:val="ru-RU"/>
        </w:rPr>
        <w:t xml:space="preserve">39-ФЗ допускает возможность приобретения на организованных торгах российского организатора торговли ценных бумаг иностранных эмитентов за счет имущества, учитываемого на </w:t>
      </w:r>
      <w:r w:rsidRPr="00E2283C">
        <w:rPr>
          <w:lang w:val="ru-RU"/>
        </w:rPr>
        <w:lastRenderedPageBreak/>
        <w:t xml:space="preserve">индивидуальном инвестиционном счете.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В этой связи лицам</w:t>
      </w:r>
      <w:r w:rsidRPr="00E2283C">
        <w:rPr>
          <w:lang w:val="ru-RU"/>
        </w:rPr>
        <w:t>, на которых антикоррупционным законодательством Российской Федерации распространяются вышеуказанные запреты, при заключении договоров на ведение индивидуального инвестиционного счета необходимо исключить приобретение профессиональным участником рынка ценн</w:t>
      </w:r>
      <w:r w:rsidRPr="00E2283C">
        <w:rPr>
          <w:lang w:val="ru-RU"/>
        </w:rPr>
        <w:t xml:space="preserve">ых бумаг в интересах таких лиц ценных бумаг: </w:t>
      </w:r>
    </w:p>
    <w:p w:rsidR="00DB33D1" w:rsidRPr="00E2283C" w:rsidRDefault="00E2283C">
      <w:pPr>
        <w:pStyle w:val="a0"/>
        <w:numPr>
          <w:ilvl w:val="0"/>
          <w:numId w:val="2"/>
        </w:numPr>
        <w:tabs>
          <w:tab w:val="left" w:pos="0"/>
        </w:tabs>
        <w:spacing w:after="0"/>
        <w:rPr>
          <w:lang w:val="ru-RU"/>
        </w:rPr>
      </w:pPr>
      <w:proofErr w:type="gramStart"/>
      <w:r w:rsidRPr="00E2283C">
        <w:rPr>
          <w:lang w:val="ru-RU"/>
        </w:rPr>
        <w:t>владение</w:t>
      </w:r>
      <w:proofErr w:type="gramEnd"/>
      <w:r w:rsidRPr="00E2283C">
        <w:rPr>
          <w:lang w:val="ru-RU"/>
        </w:rPr>
        <w:t xml:space="preserve"> которыми приводит или может привести к конфликту интересов;</w:t>
      </w:r>
    </w:p>
    <w:p w:rsidR="00DB33D1" w:rsidRDefault="00E2283C">
      <w:pPr>
        <w:pStyle w:val="a0"/>
        <w:numPr>
          <w:ilvl w:val="0"/>
          <w:numId w:val="2"/>
        </w:numPr>
        <w:tabs>
          <w:tab w:val="left" w:pos="0"/>
        </w:tabs>
      </w:pPr>
      <w:proofErr w:type="spellStart"/>
      <w:proofErr w:type="gramStart"/>
      <w:r>
        <w:t>являющихся</w:t>
      </w:r>
      <w:proofErr w:type="spellEnd"/>
      <w:proofErr w:type="gramEnd"/>
      <w:r>
        <w:t xml:space="preserve"> </w:t>
      </w:r>
      <w:proofErr w:type="spellStart"/>
      <w:r>
        <w:t>иностранными</w:t>
      </w:r>
      <w:proofErr w:type="spellEnd"/>
      <w:r>
        <w:t xml:space="preserve"> </w:t>
      </w:r>
      <w:proofErr w:type="spellStart"/>
      <w:r>
        <w:t>финансовыми</w:t>
      </w:r>
      <w:proofErr w:type="spellEnd"/>
      <w:r>
        <w:t xml:space="preserve"> </w:t>
      </w:r>
      <w:proofErr w:type="spellStart"/>
      <w:r>
        <w:t>инструментами</w:t>
      </w:r>
      <w:proofErr w:type="spellEnd"/>
      <w:r>
        <w:t xml:space="preserve">. </w:t>
      </w:r>
    </w:p>
    <w:p w:rsidR="00DB33D1" w:rsidRPr="00E2283C" w:rsidRDefault="00E2283C">
      <w:pPr>
        <w:pStyle w:val="a0"/>
        <w:rPr>
          <w:lang w:val="ru-RU"/>
        </w:rPr>
      </w:pPr>
      <w:proofErr w:type="gramStart"/>
      <w:r w:rsidRPr="00E2283C">
        <w:rPr>
          <w:lang w:val="ru-RU"/>
        </w:rPr>
        <w:t>Дополнительно отмечаем, что в случае представления сведений о доходах, расходах, об имуще</w:t>
      </w:r>
      <w:r w:rsidRPr="00E2283C">
        <w:rPr>
          <w:lang w:val="ru-RU"/>
        </w:rPr>
        <w:t>стве и обязательствах имущественного характера по форме справки, утвержденной Указом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</w:t>
      </w:r>
      <w:r w:rsidRPr="00E2283C">
        <w:rPr>
          <w:lang w:val="ru-RU"/>
        </w:rPr>
        <w:t>ии изменений в некоторые акты Президента Российской Федерации» (далее – справка), сведения об открытом индивидуальном инвестиционном счете</w:t>
      </w:r>
      <w:proofErr w:type="gramEnd"/>
      <w:r w:rsidRPr="00E2283C">
        <w:rPr>
          <w:lang w:val="ru-RU"/>
        </w:rPr>
        <w:t xml:space="preserve"> указываются в разделе 4 справки.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Также в разделе 5 справки подлежат отражению сведения об имеющихся на отчетную дату</w:t>
      </w:r>
      <w:r w:rsidRPr="00E2283C">
        <w:rPr>
          <w:lang w:val="ru-RU"/>
        </w:rPr>
        <w:t xml:space="preserve"> ценных бумагах.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Одновременно указываем, что предусмотренные подпунктами 2 и 3 пункта</w:t>
      </w:r>
      <w:r>
        <w:t> </w:t>
      </w:r>
      <w:r w:rsidRPr="00E2283C">
        <w:rPr>
          <w:lang w:val="ru-RU"/>
        </w:rPr>
        <w:t>1 статьи</w:t>
      </w:r>
      <w:r>
        <w:t> </w:t>
      </w:r>
      <w:r w:rsidRPr="00E2283C">
        <w:rPr>
          <w:lang w:val="ru-RU"/>
        </w:rPr>
        <w:t xml:space="preserve">219.1 Налогового кодекса Российской Федерации инвестиционные налоговые вычеты не подлежат отражению в разделе 1 справки.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lang w:val="ru-RU"/>
        </w:rPr>
        <w:t>Просим довести указанную информацию до</w:t>
      </w:r>
      <w:r w:rsidRPr="00E2283C">
        <w:rPr>
          <w:lang w:val="ru-RU"/>
        </w:rPr>
        <w:t xml:space="preserve"> сведения заинтересованных лиц и учитывать при применении законодательства о противодействии коррупции.</w:t>
      </w:r>
      <w:r>
        <w:t> </w:t>
      </w:r>
      <w:r w:rsidRPr="00E2283C">
        <w:rPr>
          <w:lang w:val="ru-RU"/>
        </w:rPr>
        <w:t xml:space="preserve"> </w:t>
      </w:r>
    </w:p>
    <w:p w:rsidR="00DB33D1" w:rsidRPr="00E2283C" w:rsidRDefault="00E2283C">
      <w:pPr>
        <w:pStyle w:val="a0"/>
        <w:rPr>
          <w:lang w:val="ru-RU"/>
        </w:rPr>
      </w:pPr>
      <w:r w:rsidRPr="00E2283C">
        <w:rPr>
          <w:rStyle w:val="StrongEmphasis"/>
          <w:lang w:val="ru-RU"/>
        </w:rPr>
        <w:t xml:space="preserve">Заместитель Министра труда и социальной защиты Российской Федерации </w:t>
      </w:r>
    </w:p>
    <w:p w:rsidR="00DB33D1" w:rsidRDefault="00E2283C">
      <w:pPr>
        <w:pStyle w:val="a0"/>
      </w:pPr>
      <w:r>
        <w:rPr>
          <w:rStyle w:val="StrongEmphasis"/>
        </w:rPr>
        <w:t xml:space="preserve">А.А. </w:t>
      </w:r>
      <w:proofErr w:type="spellStart"/>
      <w:r>
        <w:rPr>
          <w:rStyle w:val="StrongEmphasis"/>
        </w:rPr>
        <w:t>Черкасов</w:t>
      </w:r>
      <w:proofErr w:type="spellEnd"/>
      <w:r>
        <w:rPr>
          <w:rStyle w:val="StrongEmphasis"/>
        </w:rPr>
        <w:t xml:space="preserve"> </w:t>
      </w:r>
    </w:p>
    <w:sectPr w:rsidR="00DB33D1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Albany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C3D03"/>
    <w:multiLevelType w:val="multilevel"/>
    <w:tmpl w:val="AA26129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7ACD5EA1"/>
    <w:multiLevelType w:val="multilevel"/>
    <w:tmpl w:val="466866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B7E7444"/>
    <w:multiLevelType w:val="multilevel"/>
    <w:tmpl w:val="28964C9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D1"/>
    <w:rsid w:val="00DB33D1"/>
    <w:rsid w:val="00E2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2</cp:revision>
  <dcterms:created xsi:type="dcterms:W3CDTF">2018-09-27T06:15:00Z</dcterms:created>
  <dcterms:modified xsi:type="dcterms:W3CDTF">2018-09-27T06:15:00Z</dcterms:modified>
  <dc:language>en-US</dc:language>
</cp:coreProperties>
</file>